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72" w:rsidRPr="00C811A3" w:rsidRDefault="00E90672" w:rsidP="00E90672">
      <w:pPr>
        <w:pStyle w:val="a3"/>
        <w:kinsoku w:val="0"/>
        <w:overflowPunct w:val="0"/>
        <w:spacing w:line="200" w:lineRule="atLeast"/>
        <w:jc w:val="center"/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</w:pPr>
      <w:r w:rsidRPr="00C811A3">
        <w:rPr>
          <w:rFonts w:ascii="Verdana" w:eastAsia="Times New Roman" w:hAnsi="Verdana"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E8D21D" wp14:editId="51D18B5C">
            <wp:simplePos x="0" y="0"/>
            <wp:positionH relativeFrom="column">
              <wp:posOffset>-692785</wp:posOffset>
            </wp:positionH>
            <wp:positionV relativeFrom="paragraph">
              <wp:posOffset>0</wp:posOffset>
            </wp:positionV>
            <wp:extent cx="2045970" cy="2045970"/>
            <wp:effectExtent l="0" t="0" r="0" b="0"/>
            <wp:wrapTight wrapText="bothSides">
              <wp:wrapPolygon edited="0">
                <wp:start x="10592" y="2279"/>
                <wp:lineTo x="7106" y="4693"/>
                <wp:lineTo x="5363" y="4961"/>
                <wp:lineTo x="2413" y="6302"/>
                <wp:lineTo x="2413" y="6838"/>
                <wp:lineTo x="1207" y="8983"/>
                <wp:lineTo x="1073" y="11128"/>
                <wp:lineTo x="2145" y="13274"/>
                <wp:lineTo x="2145" y="13542"/>
                <wp:lineTo x="4156" y="15419"/>
                <wp:lineTo x="4425" y="15553"/>
                <wp:lineTo x="8983" y="17564"/>
                <wp:lineTo x="9654" y="18101"/>
                <wp:lineTo x="11933" y="18101"/>
                <wp:lineTo x="12067" y="17832"/>
                <wp:lineTo x="17162" y="15553"/>
                <wp:lineTo x="19441" y="13274"/>
                <wp:lineTo x="20514" y="11128"/>
                <wp:lineTo x="20514" y="9654"/>
                <wp:lineTo x="20246" y="8983"/>
                <wp:lineTo x="19173" y="7374"/>
                <wp:lineTo x="18771" y="6570"/>
                <wp:lineTo x="15419" y="4961"/>
                <wp:lineTo x="14346" y="4693"/>
                <wp:lineTo x="11263" y="2279"/>
                <wp:lineTo x="10592" y="2279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78" b="89778" l="8889" r="94222">
                                  <a14:foregroundMark x1="8889" y1="40444" x2="8889" y2="40444"/>
                                  <a14:foregroundMark x1="48444" y1="20889" x2="48444" y2="20889"/>
                                  <a14:foregroundMark x1="25333" y1="38222" x2="25333" y2="38222"/>
                                  <a14:foregroundMark x1="20000" y1="36444" x2="20000" y2="36444"/>
                                  <a14:foregroundMark x1="20000" y1="36444" x2="20000" y2="36444"/>
                                  <a14:foregroundMark x1="20000" y1="36444" x2="20000" y2="36444"/>
                                  <a14:foregroundMark x1="21778" y1="38667" x2="21778" y2="38667"/>
                                  <a14:foregroundMark x1="30667" y1="36000" x2="30667" y2="36000"/>
                                  <a14:foregroundMark x1="32889" y1="37333" x2="32889" y2="37333"/>
                                  <a14:foregroundMark x1="32889" y1="37333" x2="32889" y2="37333"/>
                                  <a14:foregroundMark x1="32889" y1="37333" x2="32889" y2="37333"/>
                                  <a14:foregroundMark x1="32889" y1="37333" x2="32889" y2="37333"/>
                                  <a14:foregroundMark x1="29333" y1="36444" x2="29333" y2="36444"/>
                                  <a14:foregroundMark x1="39556" y1="39556" x2="39556" y2="39556"/>
                                  <a14:foregroundMark x1="39556" y1="39556" x2="39556" y2="39556"/>
                                  <a14:foregroundMark x1="51556" y1="20889" x2="51556" y2="20889"/>
                                  <a14:foregroundMark x1="48444" y1="20000" x2="48444" y2="20000"/>
                                  <a14:foregroundMark x1="52444" y1="18667" x2="52444" y2="18667"/>
                                  <a14:foregroundMark x1="50222" y1="17333" x2="50222" y2="17333"/>
                                  <a14:foregroundMark x1="51556" y1="17333" x2="51556" y2="17333"/>
                                  <a14:foregroundMark x1="25333" y1="25333" x2="25333" y2="25333"/>
                                  <a14:foregroundMark x1="13333" y1="32889" x2="13333" y2="32889"/>
                                  <a14:foregroundMark x1="11111" y1="47111" x2="11111" y2="47111"/>
                                  <a14:foregroundMark x1="94222" y1="47111" x2="94222" y2="47111"/>
                                  <a14:foregroundMark x1="94222" y1="47111" x2="94222" y2="47111"/>
                                  <a14:foregroundMark x1="70222" y1="24000" x2="70222" y2="24000"/>
                                  <a14:foregroundMark x1="50667" y1="13333" x2="50667" y2="13333"/>
                                  <a14:foregroundMark x1="51556" y1="52889" x2="51556" y2="52889"/>
                                  <a14:foregroundMark x1="34222" y1="53778" x2="34222" y2="53778"/>
                                  <a14:foregroundMark x1="34222" y1="53778" x2="34222" y2="53778"/>
                                  <a14:foregroundMark x1="34222" y1="53778" x2="34222" y2="53778"/>
                                  <a14:foregroundMark x1="39556" y1="52444" x2="39556" y2="52444"/>
                                  <a14:foregroundMark x1="50222" y1="44889" x2="50222" y2="44889"/>
                                  <a14:foregroundMark x1="62667" y1="44889" x2="62667" y2="44889"/>
                                  <a14:foregroundMark x1="61333" y1="35111" x2="61333" y2="35111"/>
                                  <a14:foregroundMark x1="48444" y1="36444" x2="48444" y2="36444"/>
                                  <a14:foregroundMark x1="41778" y1="36444" x2="41778" y2="36444"/>
                                  <a14:foregroundMark x1="55111" y1="52889" x2="55111" y2="52889"/>
                                  <a14:foregroundMark x1="52444" y1="54667" x2="52444" y2="54667"/>
                                  <a14:foregroundMark x1="48444" y1="54667" x2="48444" y2="54667"/>
                                  <a14:foregroundMark x1="46222" y1="52889" x2="46222" y2="52889"/>
                                  <a14:foregroundMark x1="66667" y1="52889" x2="66667" y2="52889"/>
                                  <a14:foregroundMark x1="62667" y1="52889" x2="62667" y2="52889"/>
                                  <a14:foregroundMark x1="31556" y1="52889" x2="31556" y2="52889"/>
                                  <a14:foregroundMark x1="36000" y1="46222" x2="36000" y2="46222"/>
                                  <a14:foregroundMark x1="40889" y1="44889" x2="40889" y2="44889"/>
                                  <a14:foregroundMark x1="41778" y1="45778" x2="41778" y2="45778"/>
                                  <a14:foregroundMark x1="40444" y1="43556" x2="40444" y2="43556"/>
                                  <a14:foregroundMark x1="40889" y1="44889" x2="40889" y2="44889"/>
                                  <a14:foregroundMark x1="40444" y1="44889" x2="40444" y2="44889"/>
                                  <a14:foregroundMark x1="38667" y1="44889" x2="38667" y2="44889"/>
                                  <a14:foregroundMark x1="49333" y1="46222" x2="49333" y2="46222"/>
                                  <a14:foregroundMark x1="60000" y1="47111" x2="60000" y2="47111"/>
                                  <a14:foregroundMark x1="56889" y1="45778" x2="56889" y2="45778"/>
                                  <a14:foregroundMark x1="55111" y1="37333" x2="55111" y2="37333"/>
                                  <a14:foregroundMark x1="60000" y1="37333" x2="60000" y2="37333"/>
                                  <a14:foregroundMark x1="72444" y1="38667" x2="72444" y2="38667"/>
                                  <a14:foregroundMark x1="71111" y1="36000" x2="71111" y2="36000"/>
                                  <a14:foregroundMark x1="68000" y1="38222" x2="68000" y2="38222"/>
                                  <a14:foregroundMark x1="69333" y1="36000" x2="69333" y2="36000"/>
                                  <a14:foregroundMark x1="81333" y1="37333" x2="81333" y2="37333"/>
                                  <a14:foregroundMark x1="38667" y1="38667" x2="38667" y2="38667"/>
                                  <a14:foregroundMark x1="46222" y1="73333" x2="46222" y2="7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672" w:rsidRPr="00C811A3" w:rsidRDefault="00E90672" w:rsidP="00156982">
      <w:pPr>
        <w:pStyle w:val="a3"/>
        <w:kinsoku w:val="0"/>
        <w:overflowPunct w:val="0"/>
        <w:spacing w:line="200" w:lineRule="atLeast"/>
        <w:ind w:left="1560" w:right="-426"/>
        <w:rPr>
          <w:rFonts w:ascii="Verdana" w:hAnsi="Verdana" w:cstheme="majorBidi"/>
          <w:i/>
          <w:color w:val="0070C0"/>
          <w:sz w:val="24"/>
          <w:szCs w:val="24"/>
          <w:lang w:val="en-US"/>
        </w:rPr>
      </w:pPr>
    </w:p>
    <w:p w:rsidR="00E90672" w:rsidRPr="00C811A3" w:rsidRDefault="00E90672" w:rsidP="00E90672">
      <w:pPr>
        <w:pStyle w:val="a3"/>
        <w:kinsoku w:val="0"/>
        <w:overflowPunct w:val="0"/>
        <w:spacing w:line="200" w:lineRule="atLeast"/>
        <w:ind w:left="1560" w:right="-426"/>
        <w:jc w:val="center"/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</w:pPr>
      <w:r w:rsidRPr="00C811A3"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  <w:t>Diplomatic Academy of the Ministry of Foreign Affairs</w:t>
      </w:r>
    </w:p>
    <w:p w:rsidR="00E90672" w:rsidRDefault="00E90672" w:rsidP="00E9067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560" w:right="-426"/>
        <w:jc w:val="center"/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</w:pPr>
      <w:proofErr w:type="gramStart"/>
      <w:r w:rsidRPr="00C811A3"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  <w:t>of</w:t>
      </w:r>
      <w:proofErr w:type="gramEnd"/>
      <w:r w:rsidRPr="00C811A3"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  <w:t xml:space="preserve"> the Russian Federation</w:t>
      </w:r>
    </w:p>
    <w:p w:rsidR="00E90672" w:rsidRPr="00E556F2" w:rsidRDefault="001671C4" w:rsidP="001671C4">
      <w:pPr>
        <w:spacing w:before="240"/>
        <w:jc w:val="center"/>
        <w:rPr>
          <w:rFonts w:ascii="Verdana" w:hAnsi="Verdana" w:cstheme="majorBidi"/>
          <w:b/>
          <w:i/>
          <w:color w:val="0070C0"/>
          <w:sz w:val="24"/>
          <w:szCs w:val="24"/>
          <w:lang w:val="en-GB"/>
        </w:rPr>
      </w:pPr>
      <w:proofErr w:type="spellStart"/>
      <w:r w:rsidRPr="001671C4"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  <w:t>Lobachevsky</w:t>
      </w:r>
      <w:proofErr w:type="spellEnd"/>
      <w:r w:rsidRPr="001671C4">
        <w:rPr>
          <w:rFonts w:ascii="Verdana" w:eastAsia="Times New Roman" w:hAnsi="Verdana"/>
          <w:i/>
          <w:color w:val="0070C0"/>
          <w:sz w:val="24"/>
          <w:szCs w:val="24"/>
          <w:lang w:val="en-GB" w:eastAsia="de-DE"/>
        </w:rPr>
        <w:t xml:space="preserve"> State University of Nizhny Novgorod</w:t>
      </w:r>
    </w:p>
    <w:p w:rsidR="00E556F2" w:rsidRPr="00C811A3" w:rsidRDefault="00C22ABB" w:rsidP="00156982">
      <w:pPr>
        <w:spacing w:line="240" w:lineRule="auto"/>
        <w:ind w:left="-567"/>
        <w:jc w:val="center"/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</w:pPr>
      <w:r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 xml:space="preserve">INTERNATIONAL </w:t>
      </w:r>
      <w:r w:rsidR="007027AB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 xml:space="preserve">ONLINE </w:t>
      </w:r>
      <w:r w:rsidR="00C6429B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>CONFERENCE</w:t>
      </w:r>
      <w:r w:rsidR="00C6429B" w:rsidRPr="00C811A3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 xml:space="preserve"> </w:t>
      </w:r>
      <w:r w:rsidR="00E90672" w:rsidRPr="00C811A3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>PROGRAM</w:t>
      </w:r>
    </w:p>
    <w:p w:rsidR="00E556F2" w:rsidRPr="00C811A3" w:rsidRDefault="00E90672" w:rsidP="00156982">
      <w:pPr>
        <w:pStyle w:val="ab"/>
        <w:spacing w:before="480" w:beforeAutospacing="0"/>
        <w:jc w:val="center"/>
        <w:rPr>
          <w:rFonts w:ascii="Verdana" w:hAnsi="Verdana"/>
          <w:b/>
          <w:i/>
          <w:color w:val="0070C0"/>
          <w:lang w:val="en-US"/>
        </w:rPr>
      </w:pPr>
      <w:r w:rsidRPr="00C811A3">
        <w:rPr>
          <w:rFonts w:ascii="Verdana" w:hAnsi="Verdana"/>
          <w:b/>
          <w:i/>
          <w:color w:val="0070C0"/>
          <w:lang w:val="en-US"/>
        </w:rPr>
        <w:t>“</w:t>
      </w:r>
      <w:r w:rsidR="008A3461" w:rsidRPr="008A3461">
        <w:rPr>
          <w:rFonts w:ascii="Verdana" w:hAnsi="Verdana"/>
          <w:b/>
          <w:i/>
          <w:color w:val="0070C0"/>
          <w:lang w:val="en-US"/>
        </w:rPr>
        <w:t>Expert and Analytical Support of Foreign Policy Making</w:t>
      </w:r>
      <w:r w:rsidRPr="00C811A3">
        <w:rPr>
          <w:rFonts w:ascii="Verdana" w:hAnsi="Verdana"/>
          <w:b/>
          <w:i/>
          <w:color w:val="0070C0"/>
          <w:lang w:val="en-US"/>
        </w:rPr>
        <w:t xml:space="preserve">” </w:t>
      </w:r>
    </w:p>
    <w:p w:rsidR="00E90672" w:rsidRPr="00C6429B" w:rsidRDefault="00E90672" w:rsidP="007027AB">
      <w:pPr>
        <w:spacing w:before="120" w:after="120" w:line="240" w:lineRule="auto"/>
        <w:ind w:left="-567" w:firstLine="993"/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</w:pPr>
      <w:r w:rsidRPr="00E556F2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>Date and time of the event:</w:t>
      </w:r>
      <w:r w:rsidRPr="00C811A3">
        <w:rPr>
          <w:rFonts w:ascii="Verdana" w:hAnsi="Verdana" w:cstheme="majorBidi"/>
          <w:i/>
          <w:color w:val="0070C0"/>
          <w:sz w:val="24"/>
          <w:szCs w:val="24"/>
          <w:lang w:val="en-US"/>
        </w:rPr>
        <w:t xml:space="preserve"> </w:t>
      </w:r>
      <w:r w:rsidR="008A3461">
        <w:rPr>
          <w:rFonts w:ascii="Verdana" w:hAnsi="Verdana" w:cstheme="majorBidi"/>
          <w:i/>
          <w:color w:val="0070C0"/>
          <w:sz w:val="24"/>
          <w:szCs w:val="24"/>
          <w:lang w:val="en-US"/>
        </w:rPr>
        <w:t>December 17</w:t>
      </w:r>
      <w:r w:rsidR="001671C4">
        <w:rPr>
          <w:rFonts w:ascii="Verdana" w:hAnsi="Verdana" w:cstheme="majorBidi"/>
          <w:i/>
          <w:color w:val="0070C0"/>
          <w:sz w:val="24"/>
          <w:szCs w:val="24"/>
          <w:lang w:val="en-US"/>
        </w:rPr>
        <w:t xml:space="preserve"> at 1</w:t>
      </w:r>
      <w:r w:rsidR="001671C4" w:rsidRPr="001671C4">
        <w:rPr>
          <w:rFonts w:ascii="Verdana" w:hAnsi="Verdana" w:cstheme="majorBidi"/>
          <w:i/>
          <w:color w:val="0070C0"/>
          <w:sz w:val="24"/>
          <w:szCs w:val="24"/>
          <w:lang w:val="en-US"/>
        </w:rPr>
        <w:t>1</w:t>
      </w:r>
      <w:r w:rsidR="00C6429B" w:rsidRPr="00C6429B">
        <w:rPr>
          <w:rFonts w:ascii="Verdana" w:hAnsi="Verdana" w:cstheme="majorBidi"/>
          <w:i/>
          <w:color w:val="0070C0"/>
          <w:sz w:val="24"/>
          <w:szCs w:val="24"/>
          <w:lang w:val="en-US"/>
        </w:rPr>
        <w:t>.00 (Moscow time)</w:t>
      </w:r>
    </w:p>
    <w:p w:rsidR="00E90672" w:rsidRPr="00C811A3" w:rsidRDefault="00E90672" w:rsidP="00D00336">
      <w:pPr>
        <w:spacing w:after="120" w:line="240" w:lineRule="auto"/>
        <w:ind w:left="-567" w:firstLine="993"/>
        <w:jc w:val="both"/>
        <w:rPr>
          <w:rFonts w:ascii="Verdana" w:hAnsi="Verdana" w:cstheme="majorBidi"/>
          <w:i/>
          <w:color w:val="0070C0"/>
          <w:sz w:val="24"/>
          <w:szCs w:val="24"/>
          <w:lang w:val="en-US"/>
        </w:rPr>
      </w:pPr>
      <w:r w:rsidRPr="00E556F2">
        <w:rPr>
          <w:rFonts w:ascii="Verdana" w:hAnsi="Verdana" w:cstheme="majorBidi"/>
          <w:b/>
          <w:i/>
          <w:color w:val="0070C0"/>
          <w:sz w:val="24"/>
          <w:szCs w:val="24"/>
          <w:lang w:val="en-US"/>
        </w:rPr>
        <w:t>Working language:</w:t>
      </w:r>
      <w:r w:rsidRPr="00C811A3">
        <w:rPr>
          <w:rFonts w:ascii="Verdana" w:hAnsi="Verdana" w:cstheme="majorBidi"/>
          <w:i/>
          <w:color w:val="0070C0"/>
          <w:sz w:val="24"/>
          <w:szCs w:val="24"/>
          <w:lang w:val="en-US"/>
        </w:rPr>
        <w:t xml:space="preserve"> English</w:t>
      </w:r>
    </w:p>
    <w:p w:rsidR="00E90672" w:rsidRPr="00C811A3" w:rsidRDefault="00E90672" w:rsidP="00D00336">
      <w:pPr>
        <w:spacing w:after="120" w:line="240" w:lineRule="auto"/>
        <w:ind w:left="-567" w:firstLine="993"/>
        <w:jc w:val="both"/>
        <w:rPr>
          <w:rFonts w:ascii="Verdana" w:hAnsi="Verdana" w:cstheme="majorBidi"/>
          <w:i/>
          <w:color w:val="0070C0"/>
          <w:sz w:val="24"/>
          <w:szCs w:val="24"/>
          <w:lang w:val="en-US"/>
        </w:rPr>
      </w:pPr>
      <w:r w:rsidRPr="00C811A3">
        <w:rPr>
          <w:rFonts w:ascii="Verdana" w:hAnsi="Verdana" w:cstheme="majorBidi"/>
          <w:i/>
          <w:color w:val="0070C0"/>
          <w:sz w:val="24"/>
          <w:szCs w:val="24"/>
          <w:lang w:val="en-US"/>
        </w:rPr>
        <w:t xml:space="preserve">Presentations </w:t>
      </w:r>
      <w:r w:rsidR="001671C4">
        <w:rPr>
          <w:rFonts w:ascii="Verdana" w:hAnsi="Verdana" w:cstheme="majorBidi"/>
          <w:b/>
          <w:bCs/>
          <w:i/>
          <w:color w:val="0070C0"/>
          <w:sz w:val="24"/>
          <w:szCs w:val="24"/>
          <w:lang w:val="en-US"/>
        </w:rPr>
        <w:t>up to 10</w:t>
      </w:r>
      <w:r w:rsidR="00C6429B">
        <w:rPr>
          <w:rFonts w:ascii="Verdana" w:hAnsi="Verdana" w:cstheme="majorBidi"/>
          <w:b/>
          <w:bCs/>
          <w:i/>
          <w:color w:val="0070C0"/>
          <w:sz w:val="24"/>
          <w:szCs w:val="24"/>
          <w:lang w:val="en-US"/>
        </w:rPr>
        <w:t xml:space="preserve"> minutes</w:t>
      </w:r>
    </w:p>
    <w:p w:rsidR="00E90672" w:rsidRDefault="00C811A3" w:rsidP="00D00336">
      <w:pPr>
        <w:spacing w:before="240" w:after="120"/>
        <w:ind w:left="-567"/>
        <w:jc w:val="center"/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</w:pPr>
      <w:r w:rsidRPr="00C811A3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>Participants of</w:t>
      </w:r>
      <w:r w:rsidR="00E90672" w:rsidRPr="00C811A3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 xml:space="preserve"> the </w:t>
      </w:r>
      <w:r w:rsidR="00C6429B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>conference</w:t>
      </w:r>
      <w:r w:rsidR="00E90672" w:rsidRPr="00C811A3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>:</w:t>
      </w:r>
    </w:p>
    <w:p w:rsidR="008A3461" w:rsidRPr="008A3461" w:rsidRDefault="00FD7618" w:rsidP="008A3461">
      <w:pPr>
        <w:spacing w:before="240" w:after="120"/>
        <w:ind w:left="-567"/>
        <w:rPr>
          <w:rFonts w:ascii="Verdana" w:hAnsi="Verdana"/>
          <w:bCs/>
          <w:i/>
          <w:color w:val="0070C0"/>
          <w:sz w:val="24"/>
          <w:szCs w:val="24"/>
          <w:lang w:val="en-US"/>
        </w:rPr>
      </w:pPr>
      <w:r>
        <w:rPr>
          <w:rFonts w:ascii="Verdana" w:hAnsi="Verdana"/>
          <w:bCs/>
          <w:i/>
          <w:color w:val="0070C0"/>
          <w:sz w:val="24"/>
          <w:szCs w:val="24"/>
          <w:lang w:val="en-US"/>
        </w:rPr>
        <w:t>1</w:t>
      </w:r>
      <w:r w:rsidRPr="00FD7618">
        <w:rPr>
          <w:rFonts w:ascii="Verdana" w:hAnsi="Verdana"/>
          <w:bCs/>
          <w:i/>
          <w:color w:val="0070C0"/>
          <w:sz w:val="24"/>
          <w:szCs w:val="24"/>
          <w:lang w:val="en-US"/>
        </w:rPr>
        <w:t>1</w:t>
      </w:r>
      <w:r>
        <w:rPr>
          <w:rFonts w:ascii="Verdana" w:hAnsi="Verdana"/>
          <w:bCs/>
          <w:i/>
          <w:color w:val="0070C0"/>
          <w:sz w:val="24"/>
          <w:szCs w:val="24"/>
          <w:lang w:val="en-US"/>
        </w:rPr>
        <w:t>.00 – 11</w:t>
      </w:r>
      <w:r w:rsidR="008A3461" w:rsidRPr="008A3461">
        <w:rPr>
          <w:rFonts w:ascii="Verdana" w:hAnsi="Verdana"/>
          <w:bCs/>
          <w:i/>
          <w:color w:val="0070C0"/>
          <w:sz w:val="24"/>
          <w:szCs w:val="24"/>
          <w:lang w:val="en-US"/>
        </w:rPr>
        <w:t xml:space="preserve">.05 opening remarks, professor Mikhail RYKHTIK, Director, Institute of International Relations and World History, </w:t>
      </w:r>
      <w:proofErr w:type="spellStart"/>
      <w:r w:rsidR="008A3461" w:rsidRPr="008A3461">
        <w:rPr>
          <w:rFonts w:ascii="Verdana" w:hAnsi="Verdana"/>
          <w:bCs/>
          <w:i/>
          <w:color w:val="0070C0"/>
          <w:sz w:val="24"/>
          <w:szCs w:val="24"/>
          <w:lang w:val="en-US"/>
        </w:rPr>
        <w:t>Lobachevsky</w:t>
      </w:r>
      <w:proofErr w:type="spellEnd"/>
      <w:r w:rsidR="008A3461" w:rsidRPr="008A3461">
        <w:rPr>
          <w:rFonts w:ascii="Verdana" w:hAnsi="Verdana"/>
          <w:bCs/>
          <w:i/>
          <w:color w:val="0070C0"/>
          <w:sz w:val="24"/>
          <w:szCs w:val="24"/>
          <w:lang w:val="en-US"/>
        </w:rPr>
        <w:t xml:space="preserve"> State University of Nizhny Novgorod</w:t>
      </w:r>
    </w:p>
    <w:p w:rsidR="004445C1" w:rsidRDefault="00FD7618" w:rsidP="004445C1">
      <w:pPr>
        <w:spacing w:before="240" w:after="120"/>
        <w:ind w:left="-567"/>
        <w:rPr>
          <w:rFonts w:ascii="Verdana" w:hAnsi="Verdana"/>
          <w:bCs/>
          <w:i/>
          <w:color w:val="0070C0"/>
          <w:sz w:val="24"/>
          <w:szCs w:val="24"/>
          <w:lang w:val="en-US"/>
        </w:rPr>
      </w:pPr>
      <w:r>
        <w:rPr>
          <w:rFonts w:ascii="Verdana" w:hAnsi="Verdana"/>
          <w:bCs/>
          <w:i/>
          <w:color w:val="0070C0"/>
          <w:sz w:val="24"/>
          <w:szCs w:val="24"/>
          <w:lang w:val="en-US"/>
        </w:rPr>
        <w:t>11.05 – 11</w:t>
      </w:r>
      <w:r w:rsidR="008A3461" w:rsidRPr="008A3461">
        <w:rPr>
          <w:rFonts w:ascii="Verdana" w:hAnsi="Verdana"/>
          <w:bCs/>
          <w:i/>
          <w:color w:val="0070C0"/>
          <w:sz w:val="24"/>
          <w:szCs w:val="24"/>
          <w:lang w:val="en-US"/>
        </w:rPr>
        <w:t xml:space="preserve">.10 opening remarks, professor Oleg IVANOV, </w:t>
      </w:r>
      <w:r w:rsidR="004445C1" w:rsidRPr="004445C1">
        <w:rPr>
          <w:rFonts w:ascii="Verdana" w:hAnsi="Verdana"/>
          <w:bCs/>
          <w:i/>
          <w:color w:val="0070C0"/>
          <w:sz w:val="24"/>
          <w:szCs w:val="24"/>
          <w:lang w:val="en-US"/>
        </w:rPr>
        <w:t>Deputy Head of International and National Security Department, Diplomatic Academy, MFA of Russia</w:t>
      </w:r>
    </w:p>
    <w:p w:rsidR="00D00336" w:rsidRPr="00C811A3" w:rsidRDefault="00D00336" w:rsidP="004445C1">
      <w:pPr>
        <w:spacing w:before="240" w:after="120"/>
        <w:ind w:left="-567"/>
        <w:jc w:val="center"/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</w:pPr>
      <w:r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>PANEL 1</w:t>
      </w:r>
    </w:p>
    <w:p w:rsidR="001671C4" w:rsidRDefault="00FD7618" w:rsidP="00156982">
      <w:pPr>
        <w:pStyle w:val="ac"/>
        <w:spacing w:after="0" w:line="240" w:lineRule="auto"/>
        <w:ind w:left="-210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11.10 – 11</w:t>
      </w:r>
      <w:r w:rsidR="007027AB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</w:t>
      </w:r>
      <w:r w:rsidR="001671C4"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20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P</w:t>
      </w:r>
      <w:r w:rsidR="008A3461" w:rsidRPr="008A3461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rof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essor</w:t>
      </w:r>
      <w:r w:rsidR="008A3461" w:rsidRPr="008A3461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Alexandre LAMBERT, Academic Director, Geneva Institute of Geopolitical Studies (GIGS)</w:t>
      </w:r>
      <w:r w:rsidR="007027AB" w:rsidRPr="007027AB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</w:t>
      </w:r>
    </w:p>
    <w:p w:rsidR="008A3461" w:rsidRPr="007027AB" w:rsidRDefault="001671C4" w:rsidP="00156982">
      <w:pPr>
        <w:pStyle w:val="ac"/>
        <w:spacing w:after="120" w:line="240" w:lineRule="auto"/>
        <w:ind w:left="-210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Theme: </w:t>
      </w:r>
      <w:r w:rsidR="007027AB" w:rsidRPr="00E556F2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"Geopolitical Method of Analysis as a Contribution to Foreign Policy Making"</w:t>
      </w:r>
    </w:p>
    <w:p w:rsidR="001671C4" w:rsidRDefault="00FD7618" w:rsidP="00156982">
      <w:pPr>
        <w:pStyle w:val="ac"/>
        <w:spacing w:after="120" w:line="240" w:lineRule="auto"/>
        <w:ind w:left="-207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11.20 – 11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.3</w:t>
      </w:r>
      <w:r w:rsidR="008A3461" w:rsidRPr="008A3461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0</w:t>
      </w:r>
      <w:r w:rsidR="008A3461" w:rsidRPr="005865F7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Fatima R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OUMATE,</w:t>
      </w:r>
      <w:r w:rsidR="008A3461" w:rsidRPr="005865F7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Professor of the International Law at Mohammed V University, Rabat, President of the International Institute of Scientific Research, Marrakech</w:t>
      </w:r>
    </w:p>
    <w:p w:rsidR="008A3461" w:rsidRPr="005865F7" w:rsidRDefault="001671C4" w:rsidP="005865F7">
      <w:pPr>
        <w:pStyle w:val="ac"/>
        <w:spacing w:after="120" w:line="240" w:lineRule="auto"/>
        <w:ind w:left="-207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Theme: </w:t>
      </w:r>
      <w:r w:rsidR="005865F7" w:rsidRPr="005865F7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"Rethinking foreign policy in the age of artificial intelligence"</w:t>
      </w:r>
    </w:p>
    <w:p w:rsidR="008A3461" w:rsidRDefault="00FD7618" w:rsidP="000C696C">
      <w:pPr>
        <w:pStyle w:val="ac"/>
        <w:spacing w:before="240" w:after="0" w:line="240" w:lineRule="auto"/>
        <w:ind w:left="-210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11.30 – 11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</w:t>
      </w:r>
      <w:r w:rsidR="001671C4"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40</w:t>
      </w:r>
      <w:r w:rsidR="00D12A18" w:rsidRPr="00D12A18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Professor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Ivan SURMA, Head</w:t>
      </w:r>
      <w:r w:rsidR="00097969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, </w:t>
      </w:r>
      <w:r w:rsidR="00D12A18" w:rsidRPr="00D12A18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Department of Public Management in Foreign Affairs, Diplomatic Academy</w:t>
      </w:r>
      <w:r w:rsidR="000C696C" w:rsidRP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,</w:t>
      </w:r>
      <w:r w:rsidR="00D12A18" w:rsidRPr="00D12A18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MFA of Russia</w:t>
      </w:r>
    </w:p>
    <w:p w:rsidR="001671C4" w:rsidRPr="004445C1" w:rsidRDefault="001671C4" w:rsidP="008A3461">
      <w:pPr>
        <w:pStyle w:val="ac"/>
        <w:spacing w:after="120" w:line="240" w:lineRule="auto"/>
        <w:ind w:left="-207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Theme:</w:t>
      </w:r>
      <w:r w:rsidR="00F01DC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56AC" w:rsidRPr="009356A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"Expert-analytical support for foreign policy: theorists and practitioners"</w:t>
      </w:r>
    </w:p>
    <w:p w:rsidR="00D12A18" w:rsidRDefault="00FD7618" w:rsidP="000C696C">
      <w:pPr>
        <w:pStyle w:val="ac"/>
        <w:spacing w:before="240" w:after="0" w:line="240" w:lineRule="auto"/>
        <w:ind w:left="-210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11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</w:t>
      </w:r>
      <w:r w:rsidR="001671C4"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40</w:t>
      </w:r>
      <w:proofErr w:type="gramEnd"/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– 11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.50 Dr. Gregory SIMONS</w:t>
      </w:r>
      <w:r w:rsidR="00D12A18" w:rsidRPr="00D12A18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, Associate Professor, Faculty Member of the Institute for Russian and Eurasian Studies (IRES) of the Uppsala University</w:t>
      </w:r>
      <w:r w:rsidR="00097969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, Sweden.</w:t>
      </w:r>
    </w:p>
    <w:p w:rsidR="001671C4" w:rsidRDefault="000C696C" w:rsidP="000C696C">
      <w:pPr>
        <w:pStyle w:val="ac"/>
        <w:spacing w:after="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 w:rsidRP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Theme: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“</w:t>
      </w:r>
      <w:r w:rsidR="001671C4" w:rsidRP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How manufactured knowledge contributes to orthodoxy of knowledge and obstructive foreign policy"</w:t>
      </w:r>
    </w:p>
    <w:p w:rsidR="00D12A18" w:rsidRDefault="00FD7618" w:rsidP="000C696C">
      <w:pPr>
        <w:pStyle w:val="ac"/>
        <w:spacing w:before="120" w:after="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11.50 – 12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.00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Professor</w:t>
      </w:r>
      <w:r w:rsidR="00B30252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</w:t>
      </w:r>
      <w:r w:rsidR="00B30252" w:rsidRPr="00B30252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Alexander </w:t>
      </w:r>
      <w:r w:rsidR="00B30252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S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ERGUNIN</w:t>
      </w:r>
      <w:r w:rsidR="00B30252" w:rsidRPr="00B30252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, St. Petersburg State University</w:t>
      </w:r>
    </w:p>
    <w:p w:rsidR="000C696C" w:rsidRPr="009356AC" w:rsidRDefault="000C696C" w:rsidP="000C696C">
      <w:pPr>
        <w:pStyle w:val="ac"/>
        <w:spacing w:after="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 w:rsidRP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Theme:</w:t>
      </w:r>
      <w:r w:rsidR="009F3326" w:rsidRPr="009F3326">
        <w:rPr>
          <w:lang w:val="en-US"/>
        </w:rPr>
        <w:t xml:space="preserve"> </w:t>
      </w:r>
      <w:r w:rsidR="009F3326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“</w:t>
      </w:r>
      <w:r w:rsidR="009F3326" w:rsidRPr="009F3326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Science for Arctic diplomacy or diplomacy for Arctic science? The Russian perspective on Arctic science diplomacy</w:t>
      </w:r>
      <w:r w:rsidR="009F3326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”</w:t>
      </w:r>
    </w:p>
    <w:p w:rsidR="001671C4" w:rsidRDefault="00FD7618" w:rsidP="000C696C">
      <w:pPr>
        <w:pStyle w:val="ac"/>
        <w:spacing w:before="120" w:after="12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lastRenderedPageBreak/>
        <w:t>12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.00 – 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12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.1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0 Professor </w:t>
      </w:r>
      <w:r w:rsid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Pierre-Emman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uel THOMANN, </w:t>
      </w:r>
      <w:r w:rsidR="003F0524" w:rsidRP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President/Foun</w:t>
      </w:r>
      <w:r w:rsid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der of «EUROCONTINENT» (AISBL), </w:t>
      </w:r>
      <w:r w:rsidR="003F0524" w:rsidRP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Director of Research in Geopolitics in the Eur</w:t>
      </w:r>
      <w:r w:rsid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opean Institute of International </w:t>
      </w:r>
      <w:r w:rsidR="003F0524" w:rsidRP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Relat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ions (IERI) (Brussels, BELGIUM)</w:t>
      </w:r>
    </w:p>
    <w:p w:rsidR="00D12A18" w:rsidRDefault="000C696C" w:rsidP="000C696C">
      <w:pPr>
        <w:pStyle w:val="ac"/>
        <w:spacing w:after="12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  <w:r w:rsidRPr="000C696C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Theme: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 xml:space="preserve"> “</w:t>
      </w:r>
      <w:r w:rsidR="003F0524" w:rsidRPr="003F0524"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What geopolitical analysis can bring to Foreign policy making?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  <w:t>”</w:t>
      </w:r>
    </w:p>
    <w:p w:rsidR="003F0524" w:rsidRPr="003F0524" w:rsidRDefault="003F0524" w:rsidP="000C696C">
      <w:pPr>
        <w:pStyle w:val="ac"/>
        <w:spacing w:after="12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</w:p>
    <w:p w:rsidR="008A3461" w:rsidRPr="008A3461" w:rsidRDefault="008A3461" w:rsidP="000C696C">
      <w:pPr>
        <w:pStyle w:val="ac"/>
        <w:spacing w:after="120" w:line="240" w:lineRule="auto"/>
        <w:ind w:left="-20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val="en-US" w:eastAsia="ru-RU"/>
        </w:rPr>
      </w:pPr>
    </w:p>
    <w:p w:rsidR="00D00336" w:rsidRDefault="00D00336" w:rsidP="000C696C">
      <w:pPr>
        <w:pStyle w:val="ac"/>
        <w:spacing w:before="120" w:after="0" w:line="360" w:lineRule="auto"/>
        <w:ind w:left="0"/>
        <w:contextualSpacing w:val="0"/>
        <w:jc w:val="center"/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</w:pPr>
      <w:r w:rsidRPr="00D00336"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  <w:t>Q &amp; A SESSION</w:t>
      </w:r>
    </w:p>
    <w:p w:rsidR="00D00336" w:rsidRPr="00D00336" w:rsidRDefault="00D00336" w:rsidP="000C696C">
      <w:pPr>
        <w:pStyle w:val="ac"/>
        <w:spacing w:before="240" w:after="0" w:line="360" w:lineRule="auto"/>
        <w:ind w:left="0"/>
        <w:contextualSpacing w:val="0"/>
        <w:jc w:val="center"/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</w:pPr>
      <w:r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  <w:t>PANEL 2</w:t>
      </w:r>
    </w:p>
    <w:p w:rsidR="00E556F2" w:rsidRDefault="00E556F2" w:rsidP="000C696C">
      <w:pPr>
        <w:pStyle w:val="ac"/>
        <w:numPr>
          <w:ilvl w:val="0"/>
          <w:numId w:val="1"/>
        </w:numPr>
        <w:spacing w:after="0" w:line="240" w:lineRule="auto"/>
        <w:ind w:left="-210" w:hanging="357"/>
        <w:contextualSpacing w:val="0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Трефилова Юлия Александровна</w:t>
      </w:r>
      <w:r w:rsidR="007027AB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– </w:t>
      </w:r>
      <w:proofErr w:type="spellStart"/>
      <w:r w:rsid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к.п.н</w:t>
      </w:r>
      <w:proofErr w:type="spellEnd"/>
      <w:r w:rsid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, З</w:t>
      </w:r>
      <w:r w:rsidR="007027AB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аместитель директора Департамента евразийской интеграции Министерства экономического 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развития Российской Федерации.</w:t>
      </w:r>
    </w:p>
    <w:p w:rsidR="000C696C" w:rsidRPr="000C696C" w:rsidRDefault="000C696C" w:rsidP="000C696C">
      <w:pPr>
        <w:spacing w:after="0" w:line="240" w:lineRule="auto"/>
        <w:ind w:left="-284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Тема: «Э</w:t>
      </w:r>
      <w:r w:rsidRP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кспертная аналитика в практической работе лица, принимающего решения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».</w:t>
      </w:r>
    </w:p>
    <w:p w:rsidR="001671C4" w:rsidRPr="001671C4" w:rsidRDefault="005865F7" w:rsidP="000C696C">
      <w:pPr>
        <w:pStyle w:val="ac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Verdana" w:hAnsi="Verdana"/>
          <w:i/>
          <w:color w:val="0070C0"/>
          <w:sz w:val="24"/>
          <w:szCs w:val="24"/>
        </w:rPr>
      </w:pPr>
      <w:proofErr w:type="spellStart"/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Р</w:t>
      </w:r>
      <w:r w:rsidR="00746088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ыхтик</w:t>
      </w:r>
      <w:proofErr w:type="spellEnd"/>
      <w:r w:rsidR="00746088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Михаил Иванович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, </w:t>
      </w:r>
      <w:proofErr w:type="spellStart"/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д.п.н</w:t>
      </w:r>
      <w:proofErr w:type="spellEnd"/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., П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рофессор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ННГУ им.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</w:t>
      </w:r>
      <w:r w:rsidR="00097969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Лобачевского, Д</w:t>
      </w:r>
      <w:r w:rsidR="00C602A2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иректор, Институт международных отношений и мировой истории.</w:t>
      </w:r>
    </w:p>
    <w:p w:rsidR="005865F7" w:rsidRPr="001671C4" w:rsidRDefault="000C696C" w:rsidP="000C696C">
      <w:pPr>
        <w:spacing w:after="0" w:line="240" w:lineRule="auto"/>
        <w:ind w:left="-284"/>
        <w:jc w:val="both"/>
        <w:rPr>
          <w:rFonts w:ascii="Verdana" w:hAnsi="Verdana"/>
          <w:i/>
          <w:color w:val="0070C0"/>
          <w:sz w:val="24"/>
          <w:szCs w:val="24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Тема: «</w:t>
      </w:r>
      <w:r w:rsidR="005865F7" w:rsidRPr="001671C4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Ценнос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тный фактор в экспертной работе»</w:t>
      </w:r>
    </w:p>
    <w:p w:rsidR="001671C4" w:rsidRPr="001671C4" w:rsidRDefault="005865F7" w:rsidP="000C696C">
      <w:pPr>
        <w:pStyle w:val="ac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Verdana" w:hAnsi="Verdana"/>
          <w:i/>
          <w:color w:val="0070C0"/>
          <w:sz w:val="24"/>
          <w:szCs w:val="24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Конышев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Валерий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Николаевич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– </w:t>
      </w:r>
      <w:proofErr w:type="spellStart"/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д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п</w:t>
      </w:r>
      <w:r w:rsidRPr="005865F7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н</w:t>
      </w:r>
      <w:proofErr w:type="spellEnd"/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.,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П</w:t>
      </w: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рофессор факультет</w:t>
      </w:r>
      <w:r w:rsidR="001671C4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а международных отношений СПбГУ</w:t>
      </w:r>
      <w:r w:rsidR="000C696C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</w:t>
      </w:r>
    </w:p>
    <w:p w:rsidR="005865F7" w:rsidRDefault="000C696C" w:rsidP="000C696C">
      <w:pPr>
        <w:spacing w:after="0" w:line="240" w:lineRule="auto"/>
        <w:ind w:left="-252"/>
        <w:jc w:val="both"/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</w:pPr>
      <w:r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Тема:</w:t>
      </w:r>
      <w:r w:rsidR="005865F7" w:rsidRPr="001671C4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 xml:space="preserve"> «Мозговые центры США как участник системы принятия решений по политике безопасности США в Черном море»</w:t>
      </w:r>
      <w:r w:rsidR="00746088">
        <w:rPr>
          <w:rFonts w:ascii="Verdana" w:eastAsia="Times New Roman" w:hAnsi="Verdana" w:cs="Calibri"/>
          <w:i/>
          <w:color w:val="0070C0"/>
          <w:sz w:val="24"/>
          <w:szCs w:val="24"/>
          <w:lang w:eastAsia="ru-RU"/>
        </w:rPr>
        <w:t>.</w:t>
      </w:r>
    </w:p>
    <w:p w:rsidR="00746088" w:rsidRPr="00746088" w:rsidRDefault="00746088" w:rsidP="00746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color w:val="0070C0"/>
          <w:sz w:val="24"/>
          <w:szCs w:val="24"/>
        </w:rPr>
      </w:pPr>
      <w:r w:rsidRPr="00746088">
        <w:rPr>
          <w:rFonts w:ascii="Verdana" w:hAnsi="Verdana"/>
          <w:i/>
          <w:color w:val="0070C0"/>
          <w:sz w:val="24"/>
          <w:szCs w:val="24"/>
        </w:rPr>
        <w:t xml:space="preserve">Варфоломеев Антон Александрович, </w:t>
      </w:r>
      <w:proofErr w:type="spellStart"/>
      <w:r w:rsidRPr="00746088">
        <w:rPr>
          <w:rFonts w:ascii="Verdana" w:hAnsi="Verdana"/>
          <w:i/>
          <w:color w:val="0070C0"/>
          <w:sz w:val="24"/>
          <w:szCs w:val="24"/>
        </w:rPr>
        <w:t>к.п.н</w:t>
      </w:r>
      <w:proofErr w:type="spellEnd"/>
      <w:r w:rsidRPr="00746088">
        <w:rPr>
          <w:rFonts w:ascii="Verdana" w:hAnsi="Verdana"/>
          <w:i/>
          <w:color w:val="0070C0"/>
          <w:sz w:val="24"/>
          <w:szCs w:val="24"/>
        </w:rPr>
        <w:t>., Доцент, Заведующий</w:t>
      </w:r>
      <w:r w:rsidR="00097969">
        <w:rPr>
          <w:rFonts w:ascii="Verdana" w:hAnsi="Verdana"/>
          <w:i/>
          <w:color w:val="0070C0"/>
          <w:sz w:val="24"/>
          <w:szCs w:val="24"/>
        </w:rPr>
        <w:t>, Центр новых вызовов и угроз Дипломатической академии</w:t>
      </w:r>
      <w:r w:rsidRPr="00746088">
        <w:rPr>
          <w:rFonts w:ascii="Verdana" w:hAnsi="Verdana"/>
          <w:i/>
          <w:color w:val="0070C0"/>
          <w:sz w:val="24"/>
          <w:szCs w:val="24"/>
        </w:rPr>
        <w:t xml:space="preserve"> МИД России.</w:t>
      </w:r>
    </w:p>
    <w:p w:rsidR="00746088" w:rsidRDefault="00746088" w:rsidP="00746088">
      <w:pPr>
        <w:spacing w:after="0" w:line="240" w:lineRule="auto"/>
        <w:ind w:left="-252"/>
        <w:jc w:val="both"/>
        <w:rPr>
          <w:rFonts w:ascii="Verdana" w:hAnsi="Verdana"/>
          <w:i/>
          <w:color w:val="0070C0"/>
          <w:sz w:val="24"/>
          <w:szCs w:val="24"/>
        </w:rPr>
      </w:pPr>
      <w:r w:rsidRPr="00746088">
        <w:rPr>
          <w:rFonts w:ascii="Verdana" w:hAnsi="Verdana"/>
          <w:i/>
          <w:color w:val="0070C0"/>
          <w:sz w:val="24"/>
          <w:szCs w:val="24"/>
        </w:rPr>
        <w:t>Тема:</w:t>
      </w:r>
      <w:r w:rsidR="008C7796">
        <w:rPr>
          <w:rFonts w:ascii="Verdana" w:hAnsi="Verdana"/>
          <w:i/>
          <w:color w:val="0070C0"/>
          <w:sz w:val="24"/>
          <w:szCs w:val="24"/>
        </w:rPr>
        <w:t xml:space="preserve"> «Проблемы взаимодействия </w:t>
      </w:r>
      <w:r w:rsidR="008C7796" w:rsidRPr="008C7796">
        <w:rPr>
          <w:rFonts w:ascii="Verdana" w:hAnsi="Verdana"/>
          <w:i/>
          <w:color w:val="0070C0"/>
          <w:sz w:val="24"/>
          <w:szCs w:val="24"/>
        </w:rPr>
        <w:t>“</w:t>
      </w:r>
      <w:r w:rsidR="008C7796">
        <w:rPr>
          <w:rFonts w:ascii="Verdana" w:hAnsi="Verdana"/>
          <w:i/>
          <w:color w:val="0070C0"/>
          <w:sz w:val="24"/>
          <w:szCs w:val="24"/>
        </w:rPr>
        <w:t>заказчиков</w:t>
      </w:r>
      <w:r w:rsidR="008C7796" w:rsidRPr="008C7796">
        <w:rPr>
          <w:rFonts w:ascii="Verdana" w:hAnsi="Verdana"/>
          <w:i/>
          <w:color w:val="0070C0"/>
          <w:sz w:val="24"/>
          <w:szCs w:val="24"/>
        </w:rPr>
        <w:t>”</w:t>
      </w:r>
      <w:r w:rsidR="008C7796">
        <w:rPr>
          <w:rFonts w:ascii="Verdana" w:hAnsi="Verdana"/>
          <w:i/>
          <w:color w:val="0070C0"/>
          <w:sz w:val="24"/>
          <w:szCs w:val="24"/>
        </w:rPr>
        <w:t xml:space="preserve"> и </w:t>
      </w:r>
      <w:r w:rsidR="008C7796" w:rsidRPr="008C7796">
        <w:rPr>
          <w:rFonts w:ascii="Verdana" w:hAnsi="Verdana"/>
          <w:i/>
          <w:color w:val="0070C0"/>
          <w:sz w:val="24"/>
          <w:szCs w:val="24"/>
        </w:rPr>
        <w:t>“</w:t>
      </w:r>
      <w:r w:rsidR="008C7796">
        <w:rPr>
          <w:rFonts w:ascii="Verdana" w:hAnsi="Verdana"/>
          <w:i/>
          <w:color w:val="0070C0"/>
          <w:sz w:val="24"/>
          <w:szCs w:val="24"/>
        </w:rPr>
        <w:t>исполнителей</w:t>
      </w:r>
      <w:r w:rsidR="008C7796" w:rsidRPr="008C7796">
        <w:rPr>
          <w:rFonts w:ascii="Verdana" w:hAnsi="Verdana"/>
          <w:i/>
          <w:color w:val="0070C0"/>
          <w:sz w:val="24"/>
          <w:szCs w:val="24"/>
        </w:rPr>
        <w:t>”</w:t>
      </w:r>
      <w:r w:rsidR="008C7796">
        <w:rPr>
          <w:rFonts w:ascii="Verdana" w:hAnsi="Verdana"/>
          <w:i/>
          <w:color w:val="0070C0"/>
          <w:sz w:val="24"/>
          <w:szCs w:val="24"/>
        </w:rPr>
        <w:t xml:space="preserve"> внешнеполитической экспертизы».</w:t>
      </w:r>
    </w:p>
    <w:p w:rsidR="00746088" w:rsidRPr="00746088" w:rsidRDefault="00746088" w:rsidP="00746088">
      <w:pPr>
        <w:pStyle w:val="ac"/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color w:val="0070C0"/>
          <w:sz w:val="24"/>
          <w:szCs w:val="24"/>
        </w:rPr>
      </w:pPr>
      <w:r w:rsidRPr="00746088">
        <w:rPr>
          <w:rFonts w:ascii="Verdana" w:hAnsi="Verdana"/>
          <w:i/>
          <w:color w:val="0070C0"/>
          <w:sz w:val="24"/>
          <w:szCs w:val="24"/>
        </w:rPr>
        <w:t xml:space="preserve">Сафронова Ольга Владимировна, </w:t>
      </w:r>
      <w:proofErr w:type="spellStart"/>
      <w:r w:rsidRPr="00746088">
        <w:rPr>
          <w:rFonts w:ascii="Verdana" w:hAnsi="Verdana"/>
          <w:i/>
          <w:color w:val="0070C0"/>
          <w:sz w:val="24"/>
          <w:szCs w:val="24"/>
        </w:rPr>
        <w:t>к.и.н</w:t>
      </w:r>
      <w:proofErr w:type="spellEnd"/>
      <w:r w:rsidRPr="00746088">
        <w:rPr>
          <w:rFonts w:ascii="Verdana" w:hAnsi="Verdana"/>
          <w:i/>
          <w:color w:val="0070C0"/>
          <w:sz w:val="24"/>
          <w:szCs w:val="24"/>
        </w:rPr>
        <w:t>., Доц</w:t>
      </w:r>
      <w:r w:rsidR="00097969">
        <w:rPr>
          <w:rFonts w:ascii="Verdana" w:hAnsi="Verdana"/>
          <w:i/>
          <w:color w:val="0070C0"/>
          <w:sz w:val="24"/>
          <w:szCs w:val="24"/>
        </w:rPr>
        <w:t>ент</w:t>
      </w:r>
      <w:r w:rsidRPr="00746088">
        <w:rPr>
          <w:rFonts w:ascii="Verdana" w:hAnsi="Verdana"/>
          <w:i/>
          <w:color w:val="0070C0"/>
          <w:sz w:val="24"/>
          <w:szCs w:val="24"/>
        </w:rPr>
        <w:t xml:space="preserve"> ННГУ им. Лобачевского.</w:t>
      </w:r>
    </w:p>
    <w:p w:rsidR="00746088" w:rsidRPr="001671C4" w:rsidRDefault="00746088" w:rsidP="00746088">
      <w:pPr>
        <w:spacing w:after="0" w:line="240" w:lineRule="auto"/>
        <w:ind w:left="-252"/>
        <w:jc w:val="both"/>
        <w:rPr>
          <w:rFonts w:ascii="Verdana" w:hAnsi="Verdana"/>
          <w:i/>
          <w:color w:val="0070C0"/>
          <w:sz w:val="24"/>
          <w:szCs w:val="24"/>
        </w:rPr>
      </w:pPr>
      <w:r w:rsidRPr="00746088">
        <w:rPr>
          <w:rFonts w:ascii="Verdana" w:hAnsi="Verdana"/>
          <w:i/>
          <w:color w:val="0070C0"/>
          <w:sz w:val="24"/>
          <w:szCs w:val="24"/>
        </w:rPr>
        <w:t>Тема: «Опыт Исследовательской службы Конгресса США: формирование специфической модели экспертно-аналитического обеспечения процесса принятия решений».</w:t>
      </w:r>
    </w:p>
    <w:p w:rsidR="001671C4" w:rsidRDefault="005865F7" w:rsidP="000C696C">
      <w:pPr>
        <w:pStyle w:val="ac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Verdana" w:hAnsi="Verdana"/>
          <w:i/>
          <w:color w:val="0070C0"/>
          <w:sz w:val="24"/>
          <w:szCs w:val="24"/>
        </w:rPr>
      </w:pPr>
      <w:r w:rsidRPr="005865F7">
        <w:rPr>
          <w:rFonts w:ascii="Verdana" w:hAnsi="Verdana"/>
          <w:i/>
          <w:color w:val="0070C0"/>
          <w:sz w:val="24"/>
          <w:szCs w:val="24"/>
        </w:rPr>
        <w:t xml:space="preserve">Кривов Сергей </w:t>
      </w:r>
      <w:r w:rsidR="000C696C">
        <w:rPr>
          <w:rFonts w:ascii="Verdana" w:hAnsi="Verdana"/>
          <w:i/>
          <w:color w:val="0070C0"/>
          <w:sz w:val="24"/>
          <w:szCs w:val="24"/>
        </w:rPr>
        <w:t xml:space="preserve">Валерьевич, </w:t>
      </w:r>
      <w:proofErr w:type="spellStart"/>
      <w:r w:rsidR="000C696C">
        <w:rPr>
          <w:rFonts w:ascii="Verdana" w:hAnsi="Verdana"/>
          <w:i/>
          <w:color w:val="0070C0"/>
          <w:sz w:val="24"/>
          <w:szCs w:val="24"/>
        </w:rPr>
        <w:t>к.и.н</w:t>
      </w:r>
      <w:proofErr w:type="spellEnd"/>
      <w:r w:rsidR="000C696C">
        <w:rPr>
          <w:rFonts w:ascii="Verdana" w:hAnsi="Verdana"/>
          <w:i/>
          <w:color w:val="0070C0"/>
          <w:sz w:val="24"/>
          <w:szCs w:val="24"/>
        </w:rPr>
        <w:t>., Д</w:t>
      </w:r>
      <w:r w:rsidR="001671C4">
        <w:rPr>
          <w:rFonts w:ascii="Verdana" w:hAnsi="Verdana"/>
          <w:i/>
          <w:color w:val="0070C0"/>
          <w:sz w:val="24"/>
          <w:szCs w:val="24"/>
        </w:rPr>
        <w:t>оцент ННГУ им. Лобачевского.</w:t>
      </w:r>
    </w:p>
    <w:p w:rsidR="005865F7" w:rsidRPr="001671C4" w:rsidRDefault="004445C1" w:rsidP="000C696C">
      <w:pPr>
        <w:spacing w:after="0" w:line="240" w:lineRule="auto"/>
        <w:ind w:left="-284"/>
        <w:jc w:val="both"/>
        <w:rPr>
          <w:rFonts w:ascii="Verdana" w:hAnsi="Verdana"/>
          <w:i/>
          <w:color w:val="0070C0"/>
          <w:sz w:val="24"/>
          <w:szCs w:val="24"/>
        </w:rPr>
      </w:pPr>
      <w:r w:rsidRPr="001671C4">
        <w:rPr>
          <w:rFonts w:ascii="Verdana" w:hAnsi="Verdana"/>
          <w:i/>
          <w:color w:val="0070C0"/>
          <w:sz w:val="24"/>
          <w:szCs w:val="24"/>
        </w:rPr>
        <w:t xml:space="preserve"> </w:t>
      </w:r>
      <w:r w:rsidR="000C696C">
        <w:rPr>
          <w:rFonts w:ascii="Verdana" w:hAnsi="Verdana"/>
          <w:i/>
          <w:color w:val="0070C0"/>
          <w:sz w:val="24"/>
          <w:szCs w:val="24"/>
        </w:rPr>
        <w:t xml:space="preserve">Тема: </w:t>
      </w:r>
      <w:r w:rsidRPr="001671C4">
        <w:rPr>
          <w:rFonts w:ascii="Verdana" w:hAnsi="Verdana"/>
          <w:i/>
          <w:color w:val="0070C0"/>
          <w:sz w:val="24"/>
          <w:szCs w:val="24"/>
        </w:rPr>
        <w:t>«</w:t>
      </w:r>
      <w:r w:rsidR="005865F7" w:rsidRPr="001671C4">
        <w:rPr>
          <w:rFonts w:ascii="Verdana" w:hAnsi="Verdana"/>
          <w:i/>
          <w:color w:val="0070C0"/>
          <w:sz w:val="24"/>
          <w:szCs w:val="24"/>
        </w:rPr>
        <w:t>Проблема "внешней угрозы" в российском экспертном дискурсе</w:t>
      </w:r>
      <w:r w:rsidRPr="001671C4">
        <w:rPr>
          <w:rFonts w:ascii="Verdana" w:hAnsi="Verdana"/>
          <w:i/>
          <w:color w:val="0070C0"/>
          <w:sz w:val="24"/>
          <w:szCs w:val="24"/>
        </w:rPr>
        <w:t>»</w:t>
      </w:r>
    </w:p>
    <w:p w:rsidR="00D00336" w:rsidRPr="00D00336" w:rsidRDefault="00D00336" w:rsidP="000C696C">
      <w:pPr>
        <w:spacing w:before="600" w:after="240" w:line="360" w:lineRule="auto"/>
        <w:jc w:val="center"/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</w:pPr>
      <w:r w:rsidRPr="00D00336">
        <w:rPr>
          <w:rFonts w:ascii="Verdana" w:eastAsia="Times New Roman" w:hAnsi="Verdana" w:cs="Calibri"/>
          <w:b/>
          <w:i/>
          <w:color w:val="0070C0"/>
          <w:sz w:val="24"/>
          <w:szCs w:val="24"/>
          <w:lang w:val="en-US" w:eastAsia="ru-RU"/>
        </w:rPr>
        <w:t>Q &amp; A SESSION</w:t>
      </w:r>
    </w:p>
    <w:p w:rsidR="0088723B" w:rsidRDefault="00637639" w:rsidP="003F0524">
      <w:pPr>
        <w:spacing w:after="240" w:line="240" w:lineRule="auto"/>
        <w:ind w:left="-567" w:hanging="1113"/>
        <w:jc w:val="both"/>
        <w:rPr>
          <w:rFonts w:ascii="Verdana" w:hAnsi="Verdana"/>
          <w:i/>
          <w:iCs/>
          <w:color w:val="0070C0"/>
          <w:sz w:val="24"/>
          <w:szCs w:val="24"/>
          <w:lang w:val="en-US"/>
        </w:rPr>
      </w:pPr>
      <w:r w:rsidRPr="00C811A3">
        <w:rPr>
          <w:rFonts w:ascii="Verdana" w:hAnsi="Verdana"/>
          <w:i/>
          <w:iCs/>
          <w:color w:val="0070C0"/>
          <w:sz w:val="24"/>
          <w:szCs w:val="24"/>
          <w:lang w:val="en-US"/>
        </w:rPr>
        <w:t xml:space="preserve">             </w:t>
      </w:r>
      <w:r w:rsidR="00E90672" w:rsidRPr="00C6429B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>Moderator:</w:t>
      </w:r>
      <w:r w:rsidR="00E90672" w:rsidRPr="00C811A3">
        <w:rPr>
          <w:rFonts w:ascii="Verdana" w:hAnsi="Verdana"/>
          <w:b/>
          <w:bCs/>
          <w:i/>
          <w:color w:val="0070C0"/>
          <w:sz w:val="24"/>
          <w:szCs w:val="24"/>
          <w:lang w:val="en-US"/>
        </w:rPr>
        <w:t xml:space="preserve"> </w:t>
      </w:r>
    </w:p>
    <w:p w:rsidR="00D00336" w:rsidRPr="00D00336" w:rsidRDefault="00D00336" w:rsidP="00D00336">
      <w:pPr>
        <w:spacing w:after="240"/>
        <w:ind w:left="-567"/>
        <w:rPr>
          <w:rFonts w:ascii="Verdana" w:eastAsia="Times New Roman" w:hAnsi="Verdana" w:cs="Calibri"/>
          <w:i/>
          <w:color w:val="0070C0"/>
          <w:sz w:val="24"/>
          <w:szCs w:val="24"/>
          <w:lang w:val="en-US"/>
        </w:rPr>
      </w:pPr>
      <w:r>
        <w:rPr>
          <w:rFonts w:ascii="Verdana" w:hAnsi="Verdana"/>
          <w:b/>
          <w:i/>
          <w:iCs/>
          <w:color w:val="0070C0"/>
          <w:sz w:val="24"/>
          <w:szCs w:val="24"/>
          <w:lang w:val="en-US"/>
        </w:rPr>
        <w:t>Zoom link</w:t>
      </w:r>
      <w:r w:rsidRPr="00D00336">
        <w:rPr>
          <w:rFonts w:ascii="Verdana" w:hAnsi="Verdana"/>
          <w:i/>
          <w:iCs/>
          <w:color w:val="0070C0"/>
          <w:sz w:val="24"/>
          <w:szCs w:val="24"/>
          <w:lang w:val="en-US"/>
        </w:rPr>
        <w:t xml:space="preserve">: </w:t>
      </w:r>
    </w:p>
    <w:p w:rsidR="00D00336" w:rsidRPr="00D00336" w:rsidRDefault="00D00336" w:rsidP="00D00336">
      <w:pPr>
        <w:spacing w:after="240" w:line="240" w:lineRule="auto"/>
        <w:ind w:left="-567"/>
        <w:jc w:val="both"/>
        <w:rPr>
          <w:rFonts w:ascii="Verdana" w:hAnsi="Verdana"/>
          <w:i/>
          <w:iCs/>
          <w:color w:val="0070C0"/>
          <w:sz w:val="24"/>
          <w:szCs w:val="24"/>
          <w:lang w:val="en-US"/>
        </w:rPr>
      </w:pPr>
      <w:r w:rsidRPr="00D00336">
        <w:rPr>
          <w:rFonts w:ascii="Verdana" w:hAnsi="Verdana"/>
          <w:b/>
          <w:i/>
          <w:iCs/>
          <w:color w:val="0070C0"/>
          <w:sz w:val="24"/>
          <w:szCs w:val="24"/>
          <w:lang w:val="en-US"/>
        </w:rPr>
        <w:t>Conference identifier:</w:t>
      </w:r>
      <w:r w:rsidRPr="00D00336">
        <w:rPr>
          <w:rFonts w:ascii="Verdana" w:hAnsi="Verdana"/>
          <w:i/>
          <w:iCs/>
          <w:color w:val="0070C0"/>
          <w:sz w:val="24"/>
          <w:szCs w:val="24"/>
          <w:lang w:val="en-US"/>
        </w:rPr>
        <w:t xml:space="preserve"> </w:t>
      </w:r>
    </w:p>
    <w:p w:rsidR="00D00336" w:rsidRDefault="00D00336" w:rsidP="00D00336">
      <w:pPr>
        <w:spacing w:after="240" w:line="240" w:lineRule="auto"/>
        <w:ind w:left="-567"/>
        <w:jc w:val="both"/>
        <w:rPr>
          <w:rFonts w:ascii="Verdana" w:hAnsi="Verdana"/>
          <w:i/>
          <w:iCs/>
          <w:color w:val="0070C0"/>
          <w:sz w:val="24"/>
          <w:szCs w:val="24"/>
          <w:lang w:val="en-US"/>
        </w:rPr>
      </w:pPr>
      <w:r w:rsidRPr="00D00336">
        <w:rPr>
          <w:rFonts w:ascii="Verdana" w:hAnsi="Verdana"/>
          <w:b/>
          <w:i/>
          <w:iCs/>
          <w:color w:val="0070C0"/>
          <w:sz w:val="24"/>
          <w:szCs w:val="24"/>
          <w:lang w:val="en-US"/>
        </w:rPr>
        <w:t>Access code:</w:t>
      </w:r>
      <w:r w:rsidR="003F0524">
        <w:rPr>
          <w:rFonts w:ascii="Verdana" w:hAnsi="Verdana"/>
          <w:i/>
          <w:iCs/>
          <w:color w:val="0070C0"/>
          <w:sz w:val="24"/>
          <w:szCs w:val="24"/>
          <w:lang w:val="en-US"/>
        </w:rPr>
        <w:t xml:space="preserve"> </w:t>
      </w:r>
    </w:p>
    <w:p w:rsidR="00D00336" w:rsidRPr="00C6429B" w:rsidRDefault="00D00336" w:rsidP="00D00336">
      <w:pPr>
        <w:spacing w:after="240" w:line="240" w:lineRule="auto"/>
        <w:ind w:left="-567"/>
        <w:jc w:val="both"/>
        <w:rPr>
          <w:rFonts w:ascii="Verdana" w:hAnsi="Verdana"/>
          <w:i/>
          <w:iCs/>
          <w:color w:val="0070C0"/>
          <w:sz w:val="24"/>
          <w:szCs w:val="24"/>
          <w:lang w:val="en-US"/>
        </w:rPr>
      </w:pPr>
    </w:p>
    <w:sectPr w:rsidR="00D00336" w:rsidRPr="00C6429B" w:rsidSect="008B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0" w:right="850" w:bottom="710" w:left="1701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DD" w:rsidRDefault="009F79DD">
      <w:pPr>
        <w:spacing w:after="0" w:line="240" w:lineRule="auto"/>
      </w:pPr>
      <w:r>
        <w:separator/>
      </w:r>
    </w:p>
  </w:endnote>
  <w:endnote w:type="continuationSeparator" w:id="0">
    <w:p w:rsidR="009F79DD" w:rsidRDefault="009F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4793412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B5DF4" w:rsidRDefault="00084069" w:rsidP="00E14333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041B95" w:rsidRDefault="00F01D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  <w:sz w:val="20"/>
        <w:szCs w:val="20"/>
      </w:rPr>
      <w:id w:val="9769578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8B5DF4" w:rsidRPr="00802A92" w:rsidRDefault="00084069" w:rsidP="00E14333">
        <w:pPr>
          <w:pStyle w:val="a7"/>
          <w:framePr w:wrap="none" w:vAnchor="text" w:hAnchor="margin" w:xAlign="center" w:y="1"/>
          <w:rPr>
            <w:rStyle w:val="a9"/>
            <w:sz w:val="20"/>
            <w:szCs w:val="20"/>
          </w:rPr>
        </w:pPr>
        <w:r w:rsidRPr="00802A92">
          <w:rPr>
            <w:rStyle w:val="a9"/>
            <w:rFonts w:ascii="Athelas" w:hAnsi="Athelas"/>
            <w:sz w:val="32"/>
            <w:szCs w:val="32"/>
          </w:rPr>
          <w:fldChar w:fldCharType="begin"/>
        </w:r>
        <w:r w:rsidRPr="00802A92">
          <w:rPr>
            <w:rStyle w:val="a9"/>
            <w:rFonts w:ascii="Athelas" w:hAnsi="Athelas"/>
            <w:sz w:val="32"/>
            <w:szCs w:val="32"/>
          </w:rPr>
          <w:instrText xml:space="preserve"> PAGE </w:instrText>
        </w:r>
        <w:r w:rsidRPr="00802A92">
          <w:rPr>
            <w:rStyle w:val="a9"/>
            <w:rFonts w:ascii="Athelas" w:hAnsi="Athelas"/>
            <w:sz w:val="32"/>
            <w:szCs w:val="32"/>
          </w:rPr>
          <w:fldChar w:fldCharType="separate"/>
        </w:r>
        <w:r w:rsidR="00F01DC7">
          <w:rPr>
            <w:rStyle w:val="a9"/>
            <w:rFonts w:ascii="Athelas" w:hAnsi="Athelas"/>
            <w:noProof/>
            <w:sz w:val="32"/>
            <w:szCs w:val="32"/>
          </w:rPr>
          <w:t>2</w:t>
        </w:r>
        <w:r w:rsidRPr="00802A92">
          <w:rPr>
            <w:rStyle w:val="a9"/>
            <w:rFonts w:ascii="Athelas" w:hAnsi="Athelas"/>
            <w:sz w:val="32"/>
            <w:szCs w:val="32"/>
          </w:rPr>
          <w:fldChar w:fldCharType="end"/>
        </w:r>
      </w:p>
    </w:sdtContent>
  </w:sdt>
  <w:p w:rsidR="00041B95" w:rsidRDefault="00F01D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DD" w:rsidRDefault="009F79DD">
      <w:pPr>
        <w:spacing w:after="0" w:line="240" w:lineRule="auto"/>
      </w:pPr>
      <w:r>
        <w:separator/>
      </w:r>
    </w:p>
  </w:footnote>
  <w:footnote w:type="continuationSeparator" w:id="0">
    <w:p w:rsidR="009F79DD" w:rsidRDefault="009F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95" w:rsidRDefault="00F01D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383" o:spid="_x0000_s2050" type="#_x0000_t75" alt="" style="position:absolute;margin-left:0;margin-top:0;width:1824pt;height:845.5pt;z-index:-251659776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F4" w:rsidRDefault="00F01D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384" o:spid="_x0000_s2051" type="#_x0000_t75" alt="" style="position:absolute;margin-left:0;margin-top:0;width:1824pt;height:845.5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95" w:rsidRDefault="00F01DC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5382" o:spid="_x0000_s2049" type="#_x0000_t75" alt="" style="position:absolute;margin-left:0;margin-top:0;width:1824pt;height:845.5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426BB"/>
    <w:multiLevelType w:val="hybridMultilevel"/>
    <w:tmpl w:val="C5329DAE"/>
    <w:lvl w:ilvl="0" w:tplc="CA00D8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6"/>
    <w:rsid w:val="0004574C"/>
    <w:rsid w:val="000613DB"/>
    <w:rsid w:val="00084069"/>
    <w:rsid w:val="00097969"/>
    <w:rsid w:val="000C696C"/>
    <w:rsid w:val="001156E9"/>
    <w:rsid w:val="00152C70"/>
    <w:rsid w:val="00156982"/>
    <w:rsid w:val="00156D16"/>
    <w:rsid w:val="001671C4"/>
    <w:rsid w:val="001953A0"/>
    <w:rsid w:val="001B4972"/>
    <w:rsid w:val="003F0524"/>
    <w:rsid w:val="004445C1"/>
    <w:rsid w:val="004B69D1"/>
    <w:rsid w:val="004D628A"/>
    <w:rsid w:val="00522EB6"/>
    <w:rsid w:val="005865F7"/>
    <w:rsid w:val="00637639"/>
    <w:rsid w:val="006850C3"/>
    <w:rsid w:val="006E0A84"/>
    <w:rsid w:val="007027AB"/>
    <w:rsid w:val="00746088"/>
    <w:rsid w:val="0088723B"/>
    <w:rsid w:val="008A3461"/>
    <w:rsid w:val="008C7796"/>
    <w:rsid w:val="009356AC"/>
    <w:rsid w:val="009F3326"/>
    <w:rsid w:val="009F79DD"/>
    <w:rsid w:val="00A77754"/>
    <w:rsid w:val="00B30252"/>
    <w:rsid w:val="00B41E0F"/>
    <w:rsid w:val="00BD5167"/>
    <w:rsid w:val="00C21B7C"/>
    <w:rsid w:val="00C22ABB"/>
    <w:rsid w:val="00C42BC5"/>
    <w:rsid w:val="00C602A2"/>
    <w:rsid w:val="00C6429B"/>
    <w:rsid w:val="00C811A3"/>
    <w:rsid w:val="00CB3CD5"/>
    <w:rsid w:val="00D00336"/>
    <w:rsid w:val="00D12A18"/>
    <w:rsid w:val="00E133FE"/>
    <w:rsid w:val="00E52DDE"/>
    <w:rsid w:val="00E556F2"/>
    <w:rsid w:val="00E90672"/>
    <w:rsid w:val="00ED7CE9"/>
    <w:rsid w:val="00F01DC7"/>
    <w:rsid w:val="00F24D83"/>
    <w:rsid w:val="00FD7618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5CDB6"/>
  <w15:chartTrackingRefBased/>
  <w15:docId w15:val="{DE5E1137-2805-4B84-9266-D53BA96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06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067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6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672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semiHidden/>
    <w:unhideWhenUsed/>
    <w:rsid w:val="00E90672"/>
  </w:style>
  <w:style w:type="character" w:styleId="aa">
    <w:name w:val="Hyperlink"/>
    <w:basedOn w:val="a0"/>
    <w:uiPriority w:val="99"/>
    <w:unhideWhenUsed/>
    <w:rsid w:val="00E9067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E9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CD5"/>
    <w:pPr>
      <w:ind w:left="720"/>
      <w:contextualSpacing/>
    </w:pPr>
  </w:style>
  <w:style w:type="character" w:customStyle="1" w:styleId="js-phone-number">
    <w:name w:val="js-phone-number"/>
    <w:basedOn w:val="a0"/>
    <w:rsid w:val="006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753D-F3A1-4FBA-910A-EFF1955F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 П. Иванов</cp:lastModifiedBy>
  <cp:revision>3</cp:revision>
  <dcterms:created xsi:type="dcterms:W3CDTF">2021-12-13T10:16:00Z</dcterms:created>
  <dcterms:modified xsi:type="dcterms:W3CDTF">2021-12-13T10:34:00Z</dcterms:modified>
</cp:coreProperties>
</file>